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</w:p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蒲城县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年义务教育优质均衡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发展学校达标监测县级评估认定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指标达成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8"/>
        <w:tblW w:w="15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674"/>
        <w:gridCol w:w="596"/>
        <w:gridCol w:w="568"/>
        <w:gridCol w:w="750"/>
        <w:gridCol w:w="735"/>
        <w:gridCol w:w="821"/>
        <w:gridCol w:w="767"/>
        <w:gridCol w:w="794"/>
        <w:gridCol w:w="650"/>
        <w:gridCol w:w="723"/>
        <w:gridCol w:w="723"/>
        <w:gridCol w:w="726"/>
        <w:gridCol w:w="723"/>
        <w:gridCol w:w="1002"/>
        <w:gridCol w:w="712"/>
        <w:gridCol w:w="609"/>
        <w:gridCol w:w="572"/>
        <w:gridCol w:w="674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3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学校名称</w:t>
            </w:r>
          </w:p>
        </w:tc>
        <w:tc>
          <w:tcPr>
            <w:tcW w:w="67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办学类型</w:t>
            </w:r>
          </w:p>
        </w:tc>
        <w:tc>
          <w:tcPr>
            <w:tcW w:w="1164" w:type="dxa"/>
            <w:gridSpan w:val="2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学生数</w:t>
            </w:r>
          </w:p>
        </w:tc>
        <w:tc>
          <w:tcPr>
            <w:tcW w:w="75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年级数</w:t>
            </w:r>
          </w:p>
        </w:tc>
        <w:tc>
          <w:tcPr>
            <w:tcW w:w="735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班级数</w:t>
            </w:r>
          </w:p>
        </w:tc>
        <w:tc>
          <w:tcPr>
            <w:tcW w:w="5204" w:type="dxa"/>
            <w:gridSpan w:val="7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资源配置</w:t>
            </w:r>
          </w:p>
        </w:tc>
        <w:tc>
          <w:tcPr>
            <w:tcW w:w="3618" w:type="dxa"/>
            <w:gridSpan w:val="5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政府保障程度</w:t>
            </w:r>
          </w:p>
        </w:tc>
        <w:tc>
          <w:tcPr>
            <w:tcW w:w="674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达标情况</w:t>
            </w:r>
          </w:p>
        </w:tc>
        <w:tc>
          <w:tcPr>
            <w:tcW w:w="780" w:type="dxa"/>
            <w:vMerge w:val="restart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43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</w:p>
        </w:tc>
        <w:tc>
          <w:tcPr>
            <w:tcW w:w="67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小学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初中</w:t>
            </w:r>
          </w:p>
        </w:tc>
        <w:tc>
          <w:tcPr>
            <w:tcW w:w="75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</w:p>
        </w:tc>
        <w:tc>
          <w:tcPr>
            <w:tcW w:w="735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每百名学生拥有高于规定学历教师数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每百名学生拥有县级及以上骨干教师数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每百名学生拥有体育、艺术(美术、音乐)专任教师数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生均教学及辅助用房面积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生均体育运动场馆面积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生均教学仪器设备值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</w:rPr>
              <w:t>每百名学生拥有网络多媒体教室数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音美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教室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数量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小学、初中不超过2000人，九年一贯制、十二年一贯制学校不超过2500人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所有班级学生数分别不超过45人、50人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教师培训完成率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  <w:t>专任教师持证率</w:t>
            </w:r>
          </w:p>
        </w:tc>
        <w:tc>
          <w:tcPr>
            <w:tcW w:w="674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</w:p>
        </w:tc>
        <w:tc>
          <w:tcPr>
            <w:tcW w:w="780" w:type="dxa"/>
            <w:vMerge w:val="continue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孙镇初级中学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1694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FFFF" w:themeColor="background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650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0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党睦初级中学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1336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0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兴镇初级中学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初级中学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857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shd w:val="clear" w:color="auto" w:fill="auto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罕井初级中学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808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洛滨九年制学校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苏坊九年制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1085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雏鹰学校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1323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芳草地学校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九年制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孙镇东陈小学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洛滨镇蔡邓小学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洛滨镇西头小学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3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梦圆学校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9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871</w:t>
            </w:r>
          </w:p>
        </w:tc>
        <w:tc>
          <w:tcPr>
            <w:tcW w:w="56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23 </w:t>
            </w:r>
          </w:p>
        </w:tc>
        <w:tc>
          <w:tcPr>
            <w:tcW w:w="821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2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4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</w:tbl>
    <w:p>
      <w:pPr>
        <w:shd w:val="clear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蒲城县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年义务教育优质均衡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发展学校达标监测县级评估认定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指标达成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8"/>
        <w:tblW w:w="14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562"/>
        <w:gridCol w:w="555"/>
        <w:gridCol w:w="549"/>
        <w:gridCol w:w="720"/>
        <w:gridCol w:w="720"/>
        <w:gridCol w:w="675"/>
        <w:gridCol w:w="765"/>
        <w:gridCol w:w="792"/>
        <w:gridCol w:w="648"/>
        <w:gridCol w:w="721"/>
        <w:gridCol w:w="721"/>
        <w:gridCol w:w="730"/>
        <w:gridCol w:w="721"/>
        <w:gridCol w:w="974"/>
        <w:gridCol w:w="748"/>
        <w:gridCol w:w="599"/>
        <w:gridCol w:w="570"/>
        <w:gridCol w:w="642"/>
        <w:gridCol w:w="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办学类型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年级数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班级数</w:t>
            </w:r>
          </w:p>
        </w:tc>
        <w:tc>
          <w:tcPr>
            <w:tcW w:w="50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资源配置</w:t>
            </w:r>
          </w:p>
        </w:tc>
        <w:tc>
          <w:tcPr>
            <w:tcW w:w="36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政府保障程度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达标情况</w:t>
            </w:r>
          </w:p>
        </w:tc>
        <w:tc>
          <w:tcPr>
            <w:tcW w:w="7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每百名学生拥有高于规定学历教师数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每百名学生拥有县级及以上骨干教师数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每百名学生拥有体育、艺术(美术、音乐)专任教师数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生均教学及辅助用房面积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生均体育运动场馆面积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生均教学仪器设备值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每百名学生拥有网络多媒体教室数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音美教室数量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小学、初中不超过2000人，九年一贯制、十二年一贯制学校不超过2500人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所有班级学生数分别不超过45人、50人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教师培训完成率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专任教师持证率</w:t>
            </w:r>
          </w:p>
        </w:tc>
        <w:tc>
          <w:tcPr>
            <w:tcW w:w="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矿区小学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838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桥陵镇中心小学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桥陵镇三合小学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党睦镇孝通小学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苏坊镇姚古小学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椿林镇保南小学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陈庄镇东鲁小学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陈庄镇白卤小学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紫荆办漫泉河小学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苏坊镇北二小学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荆姚镇荆中小学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荆姚镇富王小学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龙池镇金星小学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16"/>
                <w:szCs w:val="16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达标</w:t>
            </w:r>
          </w:p>
        </w:tc>
      </w:tr>
    </w:tbl>
    <w:p>
      <w:pPr>
        <w:shd w:val="clea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说明：表内“1”指达标，“0”指不达标</w:t>
      </w:r>
    </w:p>
    <w:p>
      <w:pPr>
        <w:pStyle w:val="2"/>
        <w:shd w:val="clear"/>
        <w:rPr>
          <w:rFonts w:hint="eastAsia"/>
          <w:lang w:val="en-US" w:eastAsia="zh-CN"/>
        </w:rPr>
      </w:pPr>
    </w:p>
    <w:p>
      <w:pPr>
        <w:pStyle w:val="2"/>
        <w:shd w:val="clear"/>
        <w:jc w:val="right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202" w:right="1440" w:bottom="782" w:left="1440" w:header="851" w:footer="53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7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</w:p>
    <w:sectPr>
      <w:footerReference r:id="rId4" w:type="default"/>
      <w:pgSz w:w="11906" w:h="16838"/>
      <w:pgMar w:top="2098" w:right="1304" w:bottom="1587" w:left="1701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-88265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Mia/Y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-88265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9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yJr9j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60D35428"/>
    <w:rsid w:val="0288005D"/>
    <w:rsid w:val="060935AF"/>
    <w:rsid w:val="062C51A3"/>
    <w:rsid w:val="0E1919B2"/>
    <w:rsid w:val="0F522C33"/>
    <w:rsid w:val="10F66AD9"/>
    <w:rsid w:val="12015736"/>
    <w:rsid w:val="121F5BBC"/>
    <w:rsid w:val="134F427F"/>
    <w:rsid w:val="13E764D3"/>
    <w:rsid w:val="15D46CBD"/>
    <w:rsid w:val="16257519"/>
    <w:rsid w:val="177C7F0A"/>
    <w:rsid w:val="1D4247B4"/>
    <w:rsid w:val="1E4A3B7E"/>
    <w:rsid w:val="1F182311"/>
    <w:rsid w:val="1F2A3348"/>
    <w:rsid w:val="1F494278"/>
    <w:rsid w:val="1F9C4CF0"/>
    <w:rsid w:val="20097C80"/>
    <w:rsid w:val="221E7C3E"/>
    <w:rsid w:val="23BE3486"/>
    <w:rsid w:val="244A527A"/>
    <w:rsid w:val="25EC3BAF"/>
    <w:rsid w:val="27547C5E"/>
    <w:rsid w:val="2ED00512"/>
    <w:rsid w:val="31EF4124"/>
    <w:rsid w:val="39480AFC"/>
    <w:rsid w:val="3E8D1F7B"/>
    <w:rsid w:val="419E58AE"/>
    <w:rsid w:val="41FD11C6"/>
    <w:rsid w:val="44D22496"/>
    <w:rsid w:val="460C5E7C"/>
    <w:rsid w:val="49C425C9"/>
    <w:rsid w:val="49FA3A31"/>
    <w:rsid w:val="4C6C0426"/>
    <w:rsid w:val="4FEB2996"/>
    <w:rsid w:val="518F3501"/>
    <w:rsid w:val="56A26147"/>
    <w:rsid w:val="5CA02A22"/>
    <w:rsid w:val="60D35428"/>
    <w:rsid w:val="61812E22"/>
    <w:rsid w:val="61FE0190"/>
    <w:rsid w:val="64D12312"/>
    <w:rsid w:val="64FB2EEB"/>
    <w:rsid w:val="673B7F17"/>
    <w:rsid w:val="67B37AAD"/>
    <w:rsid w:val="6A3D5D54"/>
    <w:rsid w:val="6C6770B8"/>
    <w:rsid w:val="6C6A5F6A"/>
    <w:rsid w:val="6D2900BF"/>
    <w:rsid w:val="6D8141AA"/>
    <w:rsid w:val="6E62222D"/>
    <w:rsid w:val="70082960"/>
    <w:rsid w:val="75DD76E0"/>
    <w:rsid w:val="76BB24DB"/>
    <w:rsid w:val="774F301C"/>
    <w:rsid w:val="776355FC"/>
    <w:rsid w:val="78D930EC"/>
    <w:rsid w:val="7D42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2188</Words>
  <Characters>2242</Characters>
  <Lines>0</Lines>
  <Paragraphs>0</Paragraphs>
  <TotalTime>5</TotalTime>
  <ScaleCrop>false</ScaleCrop>
  <LinksUpToDate>false</LinksUpToDate>
  <CharactersWithSpaces>2254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2023-08-31T08:29:00Z</dcterms:created>
  <dc:creator>寧靜致遠</dc:creator>
  <cp:lastModifiedBy>逐 梦 之 影</cp:lastModifiedBy>
  <cp:lastPrinted>2023-11-06T01:13:00Z</cp:lastPrinted>
  <dcterms:modified xsi:type="dcterms:W3CDTF">2023-11-06T09:38:40Z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DC435E4CF8A64DBE9D2A851704C3A218_13</vt:lpwstr>
  </property>
</Properties>
</file>